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4A" w:rsidRPr="00651451" w:rsidRDefault="00494723">
      <w:pPr>
        <w:rPr>
          <w:b/>
          <w:color w:val="17365D" w:themeColor="text2" w:themeShade="BF"/>
        </w:rPr>
      </w:pPr>
      <w:r w:rsidRPr="00651451">
        <w:rPr>
          <w:b/>
          <w:color w:val="17365D" w:themeColor="text2" w:themeShade="BF"/>
        </w:rPr>
        <w:t>SUMMARY/BACKGROUND</w:t>
      </w:r>
    </w:p>
    <w:p w:rsidR="00494723" w:rsidRPr="00651451" w:rsidRDefault="00494723" w:rsidP="00494723">
      <w:pPr>
        <w:pStyle w:val="ListParagraph"/>
        <w:numPr>
          <w:ilvl w:val="0"/>
          <w:numId w:val="1"/>
        </w:numPr>
        <w:rPr>
          <w:b/>
          <w:color w:val="17365D" w:themeColor="text2" w:themeShade="BF"/>
          <w:sz w:val="20"/>
          <w:szCs w:val="20"/>
        </w:rPr>
      </w:pPr>
      <w:r w:rsidRPr="00651451">
        <w:rPr>
          <w:color w:val="17365D" w:themeColor="text2" w:themeShade="BF"/>
          <w:sz w:val="20"/>
          <w:szCs w:val="20"/>
        </w:rPr>
        <w:t xml:space="preserve">The Asian Citrus </w:t>
      </w:r>
      <w:proofErr w:type="spellStart"/>
      <w:r w:rsidRPr="00651451">
        <w:rPr>
          <w:color w:val="17365D" w:themeColor="text2" w:themeShade="BF"/>
          <w:sz w:val="20"/>
          <w:szCs w:val="20"/>
        </w:rPr>
        <w:t>psyllid</w:t>
      </w:r>
      <w:proofErr w:type="spellEnd"/>
      <w:r w:rsidRPr="00651451">
        <w:rPr>
          <w:color w:val="17365D" w:themeColor="text2" w:themeShade="BF"/>
          <w:sz w:val="20"/>
          <w:szCs w:val="20"/>
        </w:rPr>
        <w:t xml:space="preserve"> (ACP), an aphid-like insect, is a serious pest of all citrus and closely-related plants because it can transmit the disease </w:t>
      </w:r>
      <w:proofErr w:type="spellStart"/>
      <w:r w:rsidRPr="00651451">
        <w:rPr>
          <w:color w:val="17365D" w:themeColor="text2" w:themeShade="BF"/>
          <w:sz w:val="20"/>
          <w:szCs w:val="20"/>
        </w:rPr>
        <w:t>huanglongbing</w:t>
      </w:r>
      <w:proofErr w:type="spellEnd"/>
      <w:r w:rsidRPr="00651451">
        <w:rPr>
          <w:color w:val="17365D" w:themeColor="text2" w:themeShade="BF"/>
          <w:sz w:val="20"/>
          <w:szCs w:val="20"/>
        </w:rPr>
        <w:t xml:space="preserve"> (HLB) when it feeds on the plants’ leaves and stems.</w:t>
      </w:r>
    </w:p>
    <w:p w:rsidR="00494723" w:rsidRPr="00651451" w:rsidRDefault="00494723" w:rsidP="00494723">
      <w:pPr>
        <w:pStyle w:val="ListParagraph"/>
        <w:numPr>
          <w:ilvl w:val="0"/>
          <w:numId w:val="1"/>
        </w:numPr>
        <w:rPr>
          <w:b/>
          <w:color w:val="17365D" w:themeColor="text2" w:themeShade="BF"/>
          <w:sz w:val="20"/>
          <w:szCs w:val="20"/>
        </w:rPr>
      </w:pPr>
      <w:r w:rsidRPr="00651451">
        <w:rPr>
          <w:color w:val="17365D" w:themeColor="text2" w:themeShade="BF"/>
          <w:sz w:val="20"/>
          <w:szCs w:val="20"/>
        </w:rPr>
        <w:t>HLB is the most devastating disease of citrus in the world. Symptoms of HLB include yellow shoots, leaf mottle, small upright leaves and lopsided fruit with a bitter flavor. Infected trees decline in heath, produce inedible fruit and eventually die. There is no cure for the disease and infected trees must be removed and destroyed to prevent further spread of HLB.</w:t>
      </w:r>
    </w:p>
    <w:p w:rsidR="00494723" w:rsidRPr="00651451" w:rsidRDefault="00494723" w:rsidP="00494723">
      <w:pPr>
        <w:pStyle w:val="ListParagraph"/>
        <w:numPr>
          <w:ilvl w:val="0"/>
          <w:numId w:val="1"/>
        </w:numPr>
        <w:rPr>
          <w:b/>
          <w:color w:val="17365D" w:themeColor="text2" w:themeShade="BF"/>
          <w:sz w:val="20"/>
          <w:szCs w:val="20"/>
        </w:rPr>
      </w:pPr>
      <w:r w:rsidRPr="00651451">
        <w:rPr>
          <w:color w:val="17365D" w:themeColor="text2" w:themeShade="BF"/>
          <w:sz w:val="20"/>
          <w:szCs w:val="20"/>
        </w:rPr>
        <w:t xml:space="preserve">The </w:t>
      </w:r>
      <w:proofErr w:type="gramStart"/>
      <w:r w:rsidRPr="00651451">
        <w:rPr>
          <w:color w:val="17365D" w:themeColor="text2" w:themeShade="BF"/>
          <w:sz w:val="20"/>
          <w:szCs w:val="20"/>
        </w:rPr>
        <w:t>state of Mississippi and Alabama have</w:t>
      </w:r>
      <w:proofErr w:type="gramEnd"/>
      <w:r w:rsidRPr="00651451">
        <w:rPr>
          <w:color w:val="17365D" w:themeColor="text2" w:themeShade="BF"/>
          <w:sz w:val="20"/>
          <w:szCs w:val="20"/>
        </w:rPr>
        <w:t xml:space="preserve"> detected the ACP but not the HLB disease. Florida, Georgia, Louisiana, South Carolina, and Texas have detected both the pest and the disease. HLB infected </w:t>
      </w:r>
      <w:proofErr w:type="spellStart"/>
      <w:r w:rsidRPr="00651451">
        <w:rPr>
          <w:color w:val="17365D" w:themeColor="text2" w:themeShade="BF"/>
          <w:sz w:val="20"/>
          <w:szCs w:val="20"/>
        </w:rPr>
        <w:t>psyllids</w:t>
      </w:r>
      <w:proofErr w:type="spellEnd"/>
      <w:r w:rsidRPr="00651451">
        <w:rPr>
          <w:color w:val="17365D" w:themeColor="text2" w:themeShade="BF"/>
          <w:sz w:val="20"/>
          <w:szCs w:val="20"/>
        </w:rPr>
        <w:t xml:space="preserve"> have also been devastation in Asia, India, parts of the Middle East, and South and Central America. The </w:t>
      </w:r>
      <w:proofErr w:type="spellStart"/>
      <w:r w:rsidRPr="00651451">
        <w:rPr>
          <w:color w:val="17365D" w:themeColor="text2" w:themeShade="BF"/>
          <w:sz w:val="20"/>
          <w:szCs w:val="20"/>
        </w:rPr>
        <w:t>psyllids</w:t>
      </w:r>
      <w:proofErr w:type="spellEnd"/>
      <w:r w:rsidRPr="00651451">
        <w:rPr>
          <w:color w:val="17365D" w:themeColor="text2" w:themeShade="BF"/>
          <w:sz w:val="20"/>
          <w:szCs w:val="20"/>
        </w:rPr>
        <w:t xml:space="preserve"> have also been detected in Hawaii, and both the pest and disease have been detected in Mexico. ACP was first detected in California in 2008 and in 7 countries, and HLB was detected in Los Angeles County in 2012.</w:t>
      </w:r>
    </w:p>
    <w:p w:rsidR="00494723" w:rsidRPr="00651451" w:rsidRDefault="00494723" w:rsidP="00494723">
      <w:pPr>
        <w:pStyle w:val="ListParagraph"/>
        <w:numPr>
          <w:ilvl w:val="0"/>
          <w:numId w:val="1"/>
        </w:numPr>
        <w:rPr>
          <w:b/>
          <w:color w:val="17365D" w:themeColor="text2" w:themeShade="BF"/>
          <w:sz w:val="20"/>
          <w:szCs w:val="20"/>
        </w:rPr>
      </w:pPr>
      <w:r w:rsidRPr="00651451">
        <w:rPr>
          <w:color w:val="17365D" w:themeColor="text2" w:themeShade="BF"/>
          <w:sz w:val="20"/>
          <w:szCs w:val="20"/>
        </w:rPr>
        <w:t>California has a $1.8 billion citrus industry. Establishment of both ACP and HLP in California would cause economic losses via direct damage to citrus plants and quarantine restrictions designed to mitigate the spread of the two. Recent studies in Florida have shown that the presence of HLB increases citrus production costs by up to 40 percent and has resulted in a loss of over $7 billion and 6600 jobs over the last five years.</w:t>
      </w:r>
    </w:p>
    <w:p w:rsidR="00BD19A5" w:rsidRPr="00651451" w:rsidRDefault="00494723" w:rsidP="00BD19A5">
      <w:pPr>
        <w:pStyle w:val="ListParagraph"/>
        <w:numPr>
          <w:ilvl w:val="0"/>
          <w:numId w:val="1"/>
        </w:numPr>
        <w:rPr>
          <w:b/>
          <w:color w:val="17365D" w:themeColor="text2" w:themeShade="BF"/>
          <w:sz w:val="20"/>
          <w:szCs w:val="20"/>
        </w:rPr>
      </w:pPr>
      <w:r w:rsidRPr="00651451">
        <w:rPr>
          <w:color w:val="17365D" w:themeColor="text2" w:themeShade="BF"/>
          <w:sz w:val="20"/>
          <w:szCs w:val="20"/>
        </w:rPr>
        <w:t>California’s citrus industry ranks first in the U.S in terms of value and second (after Florida) in terms of production. California’s total citrus production have aver</w:t>
      </w:r>
      <w:r w:rsidR="00FE7BA5" w:rsidRPr="00651451">
        <w:rPr>
          <w:color w:val="17365D" w:themeColor="text2" w:themeShade="BF"/>
          <w:sz w:val="20"/>
          <w:szCs w:val="20"/>
        </w:rPr>
        <w:t xml:space="preserve">aged 3.2 million tons per season over the past three seasons, about 24 percent </w:t>
      </w:r>
      <w:bookmarkStart w:id="0" w:name="_GoBack"/>
      <w:bookmarkEnd w:id="0"/>
      <w:r w:rsidR="00FE7BA5" w:rsidRPr="00651451">
        <w:rPr>
          <w:color w:val="17365D" w:themeColor="text2" w:themeShade="BF"/>
          <w:sz w:val="20"/>
          <w:szCs w:val="20"/>
        </w:rPr>
        <w:t>of the nation’s total. California is the nation’s main source (80 percent) of fresh market oranges, while Florida grows oranges mainly for juice. California also supplies 87 percent of the nation’s lemons (source: USDA Economic Research Service.)</w:t>
      </w:r>
    </w:p>
    <w:p w:rsidR="00FE7BA5" w:rsidRPr="00651451" w:rsidRDefault="00FE7BA5" w:rsidP="00BD19A5">
      <w:pPr>
        <w:rPr>
          <w:b/>
          <w:color w:val="17365D" w:themeColor="text2" w:themeShade="BF"/>
        </w:rPr>
      </w:pPr>
      <w:r w:rsidRPr="00651451">
        <w:rPr>
          <w:b/>
          <w:color w:val="17365D" w:themeColor="text2" w:themeShade="BF"/>
        </w:rPr>
        <w:t>LIFE CYCLE</w:t>
      </w:r>
    </w:p>
    <w:p w:rsidR="00FE7BA5" w:rsidRPr="00651451" w:rsidRDefault="00FE7BA5" w:rsidP="00FE7BA5">
      <w:pPr>
        <w:pStyle w:val="ListParagraph"/>
        <w:numPr>
          <w:ilvl w:val="0"/>
          <w:numId w:val="2"/>
        </w:numPr>
        <w:rPr>
          <w:b/>
          <w:color w:val="17365D" w:themeColor="text2" w:themeShade="BF"/>
          <w:sz w:val="20"/>
          <w:szCs w:val="20"/>
        </w:rPr>
      </w:pPr>
      <w:r w:rsidRPr="00651451">
        <w:rPr>
          <w:color w:val="17365D" w:themeColor="text2" w:themeShade="BF"/>
          <w:sz w:val="20"/>
          <w:szCs w:val="20"/>
        </w:rPr>
        <w:t>Female ACPs lay their eggs on the tips of growing shoots on and between unfurling leaves.</w:t>
      </w:r>
    </w:p>
    <w:p w:rsidR="00FE7BA5" w:rsidRPr="00651451" w:rsidRDefault="00FE7BA5" w:rsidP="00FE7BA5">
      <w:pPr>
        <w:pStyle w:val="ListParagraph"/>
        <w:numPr>
          <w:ilvl w:val="0"/>
          <w:numId w:val="2"/>
        </w:numPr>
        <w:rPr>
          <w:b/>
          <w:color w:val="17365D" w:themeColor="text2" w:themeShade="BF"/>
          <w:sz w:val="20"/>
          <w:szCs w:val="20"/>
        </w:rPr>
      </w:pPr>
      <w:r w:rsidRPr="00651451">
        <w:rPr>
          <w:color w:val="17365D" w:themeColor="text2" w:themeShade="BF"/>
          <w:sz w:val="20"/>
          <w:szCs w:val="20"/>
        </w:rPr>
        <w:t xml:space="preserve">300 to 800 eggs may be produced by each female during her lifetime. </w:t>
      </w:r>
    </w:p>
    <w:p w:rsidR="00FE7BA5" w:rsidRPr="00651451" w:rsidRDefault="00FE7BA5" w:rsidP="00FE7BA5">
      <w:pPr>
        <w:pStyle w:val="ListParagraph"/>
        <w:numPr>
          <w:ilvl w:val="0"/>
          <w:numId w:val="2"/>
        </w:numPr>
        <w:rPr>
          <w:b/>
          <w:color w:val="17365D" w:themeColor="text2" w:themeShade="BF"/>
          <w:sz w:val="20"/>
          <w:szCs w:val="20"/>
        </w:rPr>
      </w:pPr>
      <w:r w:rsidRPr="00651451">
        <w:rPr>
          <w:color w:val="17365D" w:themeColor="text2" w:themeShade="BF"/>
          <w:sz w:val="20"/>
          <w:szCs w:val="20"/>
        </w:rPr>
        <w:t xml:space="preserve">Nymphs pass </w:t>
      </w:r>
      <w:r w:rsidR="00780C00" w:rsidRPr="00651451">
        <w:rPr>
          <w:color w:val="17365D" w:themeColor="text2" w:themeShade="BF"/>
          <w:sz w:val="20"/>
          <w:szCs w:val="20"/>
        </w:rPr>
        <w:t>through five instars. The total life cycle requires from 15 to 47 days, depending on environmental factors su</w:t>
      </w:r>
      <w:r w:rsidR="003F34F7" w:rsidRPr="00651451">
        <w:rPr>
          <w:color w:val="17365D" w:themeColor="text2" w:themeShade="BF"/>
          <w:sz w:val="20"/>
          <w:szCs w:val="20"/>
        </w:rPr>
        <w:t>ch as temperature and season.</w:t>
      </w:r>
    </w:p>
    <w:p w:rsidR="003F34F7" w:rsidRPr="00651451" w:rsidRDefault="003F34F7" w:rsidP="00FE7BA5">
      <w:pPr>
        <w:pStyle w:val="ListParagraph"/>
        <w:numPr>
          <w:ilvl w:val="0"/>
          <w:numId w:val="2"/>
        </w:numPr>
        <w:rPr>
          <w:b/>
          <w:color w:val="17365D" w:themeColor="text2" w:themeShade="BF"/>
          <w:sz w:val="20"/>
          <w:szCs w:val="20"/>
        </w:rPr>
      </w:pPr>
      <w:r w:rsidRPr="00651451">
        <w:rPr>
          <w:color w:val="17365D" w:themeColor="text2" w:themeShade="BF"/>
          <w:sz w:val="20"/>
          <w:szCs w:val="20"/>
        </w:rPr>
        <w:t>Adults may live</w:t>
      </w:r>
      <w:r w:rsidR="00145DDA" w:rsidRPr="00651451">
        <w:rPr>
          <w:color w:val="17365D" w:themeColor="text2" w:themeShade="BF"/>
          <w:sz w:val="20"/>
          <w:szCs w:val="20"/>
        </w:rPr>
        <w:t xml:space="preserve"> for</w:t>
      </w:r>
      <w:r w:rsidR="009A6DC8" w:rsidRPr="00651451">
        <w:rPr>
          <w:color w:val="17365D" w:themeColor="text2" w:themeShade="BF"/>
          <w:sz w:val="20"/>
          <w:szCs w:val="20"/>
        </w:rPr>
        <w:t xml:space="preserve"> more than a</w:t>
      </w:r>
      <w:r w:rsidR="00145DDA" w:rsidRPr="00651451">
        <w:rPr>
          <w:color w:val="17365D" w:themeColor="text2" w:themeShade="BF"/>
          <w:sz w:val="20"/>
          <w:szCs w:val="20"/>
        </w:rPr>
        <w:t xml:space="preserve"> month and there are typically 9 to 10 generations per year, which up to 16 under observation in field cages.</w:t>
      </w:r>
    </w:p>
    <w:p w:rsidR="00145DDA" w:rsidRPr="00651451" w:rsidRDefault="00145DDA" w:rsidP="00145DDA">
      <w:pPr>
        <w:rPr>
          <w:b/>
          <w:color w:val="17365D" w:themeColor="text2" w:themeShade="BF"/>
        </w:rPr>
      </w:pPr>
      <w:r w:rsidRPr="00651451">
        <w:rPr>
          <w:b/>
          <w:color w:val="17365D" w:themeColor="text2" w:themeShade="BF"/>
        </w:rPr>
        <w:t>ERADICATION PROGRAM</w:t>
      </w:r>
    </w:p>
    <w:p w:rsidR="00145DDA" w:rsidRPr="00651451" w:rsidRDefault="009A6DC8" w:rsidP="00145DDA">
      <w:pPr>
        <w:pStyle w:val="ListParagraph"/>
        <w:numPr>
          <w:ilvl w:val="0"/>
          <w:numId w:val="3"/>
        </w:numPr>
        <w:rPr>
          <w:b/>
          <w:color w:val="17365D" w:themeColor="text2" w:themeShade="BF"/>
          <w:sz w:val="20"/>
          <w:szCs w:val="20"/>
        </w:rPr>
      </w:pPr>
      <w:r w:rsidRPr="00651451">
        <w:rPr>
          <w:color w:val="17365D" w:themeColor="text2" w:themeShade="BF"/>
          <w:sz w:val="20"/>
          <w:szCs w:val="20"/>
        </w:rPr>
        <w:t>Yellow panel traps are placed throughout the state at densities of 5 to 16 per square mile, and these may be increased to up to 100 traps in the core and 50 traps per square mile in the surrounding eight square miles of an ACP find.</w:t>
      </w:r>
    </w:p>
    <w:p w:rsidR="009A6DC8" w:rsidRPr="00651451" w:rsidRDefault="009A6DC8" w:rsidP="00145DDA">
      <w:pPr>
        <w:pStyle w:val="ListParagraph"/>
        <w:numPr>
          <w:ilvl w:val="0"/>
          <w:numId w:val="3"/>
        </w:numPr>
        <w:rPr>
          <w:b/>
          <w:color w:val="17365D" w:themeColor="text2" w:themeShade="BF"/>
          <w:sz w:val="20"/>
          <w:szCs w:val="20"/>
        </w:rPr>
      </w:pPr>
      <w:r w:rsidRPr="00651451">
        <w:rPr>
          <w:color w:val="17365D" w:themeColor="text2" w:themeShade="BF"/>
          <w:sz w:val="20"/>
          <w:szCs w:val="20"/>
        </w:rPr>
        <w:t xml:space="preserve">Within 200 to 800 meters of an ACP find, citrus trees and host plants are treated with a foliar application of Tempo (active ingredient </w:t>
      </w:r>
      <w:proofErr w:type="spellStart"/>
      <w:r w:rsidRPr="00651451">
        <w:rPr>
          <w:color w:val="17365D" w:themeColor="text2" w:themeShade="BF"/>
          <w:sz w:val="20"/>
          <w:szCs w:val="20"/>
        </w:rPr>
        <w:t>cyfluthrin</w:t>
      </w:r>
      <w:proofErr w:type="spellEnd"/>
      <w:r w:rsidRPr="00651451">
        <w:rPr>
          <w:color w:val="17365D" w:themeColor="text2" w:themeShade="BF"/>
          <w:sz w:val="20"/>
          <w:szCs w:val="20"/>
        </w:rPr>
        <w:t>), which eliminates the ACP on contact.</w:t>
      </w:r>
    </w:p>
    <w:p w:rsidR="009A6DC8" w:rsidRPr="00651451" w:rsidRDefault="00BD19A5" w:rsidP="00145DDA">
      <w:pPr>
        <w:pStyle w:val="ListParagraph"/>
        <w:numPr>
          <w:ilvl w:val="0"/>
          <w:numId w:val="3"/>
        </w:numPr>
        <w:rPr>
          <w:b/>
          <w:color w:val="17365D" w:themeColor="text2" w:themeShade="BF"/>
          <w:sz w:val="20"/>
          <w:szCs w:val="20"/>
        </w:rPr>
      </w:pPr>
      <w:proofErr w:type="gramStart"/>
      <w:r w:rsidRPr="00651451">
        <w:rPr>
          <w:color w:val="17365D" w:themeColor="text2" w:themeShade="BF"/>
          <w:sz w:val="20"/>
          <w:szCs w:val="20"/>
        </w:rPr>
        <w:t>within</w:t>
      </w:r>
      <w:proofErr w:type="gramEnd"/>
      <w:r w:rsidRPr="00651451">
        <w:rPr>
          <w:color w:val="17365D" w:themeColor="text2" w:themeShade="BF"/>
          <w:sz w:val="20"/>
          <w:szCs w:val="20"/>
        </w:rPr>
        <w:t xml:space="preserve"> 200 to 800 meters of an ACP find, citrus trees and host plants will also receive a soil drench or soil injection with either Merit or </w:t>
      </w:r>
      <w:proofErr w:type="spellStart"/>
      <w:r w:rsidRPr="00651451">
        <w:rPr>
          <w:color w:val="17365D" w:themeColor="text2" w:themeShade="BF"/>
          <w:sz w:val="20"/>
          <w:szCs w:val="20"/>
        </w:rPr>
        <w:t>CoreTect</w:t>
      </w:r>
      <w:proofErr w:type="spellEnd"/>
      <w:r w:rsidRPr="00651451">
        <w:rPr>
          <w:color w:val="17365D" w:themeColor="text2" w:themeShade="BF"/>
          <w:sz w:val="20"/>
          <w:szCs w:val="20"/>
        </w:rPr>
        <w:t xml:space="preserve"> (active ingredient </w:t>
      </w:r>
      <w:proofErr w:type="spellStart"/>
      <w:r w:rsidRPr="00651451">
        <w:rPr>
          <w:color w:val="17365D" w:themeColor="text2" w:themeShade="BF"/>
          <w:sz w:val="20"/>
          <w:szCs w:val="20"/>
        </w:rPr>
        <w:t>imidacloprid</w:t>
      </w:r>
      <w:proofErr w:type="spellEnd"/>
      <w:r w:rsidRPr="00651451">
        <w:rPr>
          <w:color w:val="17365D" w:themeColor="text2" w:themeShade="BF"/>
          <w:sz w:val="20"/>
          <w:szCs w:val="20"/>
        </w:rPr>
        <w:t xml:space="preserve">), a systemic treatment which kills developing nymphs and that will remain active to guard against </w:t>
      </w:r>
      <w:proofErr w:type="spellStart"/>
      <w:r w:rsidRPr="00651451">
        <w:rPr>
          <w:color w:val="17365D" w:themeColor="text2" w:themeShade="BF"/>
          <w:sz w:val="20"/>
          <w:szCs w:val="20"/>
        </w:rPr>
        <w:t>psyllids</w:t>
      </w:r>
      <w:proofErr w:type="spellEnd"/>
      <w:r w:rsidRPr="00651451">
        <w:rPr>
          <w:color w:val="17365D" w:themeColor="text2" w:themeShade="BF"/>
          <w:sz w:val="20"/>
          <w:szCs w:val="20"/>
        </w:rPr>
        <w:t xml:space="preserve"> for an extended period of time.</w:t>
      </w:r>
    </w:p>
    <w:p w:rsidR="00BD19A5" w:rsidRPr="00651451" w:rsidRDefault="00BD19A5" w:rsidP="00BD19A5">
      <w:pPr>
        <w:rPr>
          <w:b/>
          <w:color w:val="17365D" w:themeColor="text2" w:themeShade="BF"/>
          <w:szCs w:val="20"/>
        </w:rPr>
      </w:pPr>
      <w:r w:rsidRPr="00651451">
        <w:rPr>
          <w:b/>
          <w:color w:val="17365D" w:themeColor="text2" w:themeShade="BF"/>
          <w:szCs w:val="20"/>
        </w:rPr>
        <w:t>MORE INFORMATION IS AVAILABLE</w:t>
      </w:r>
    </w:p>
    <w:p w:rsidR="00BD19A5" w:rsidRPr="00651451" w:rsidRDefault="00BD19A5" w:rsidP="00BD19A5">
      <w:pPr>
        <w:pStyle w:val="ListParagraph"/>
        <w:numPr>
          <w:ilvl w:val="0"/>
          <w:numId w:val="4"/>
        </w:numPr>
        <w:rPr>
          <w:b/>
          <w:color w:val="17365D" w:themeColor="text2" w:themeShade="BF"/>
          <w:sz w:val="20"/>
          <w:szCs w:val="20"/>
        </w:rPr>
      </w:pPr>
      <w:r w:rsidRPr="00651451">
        <w:rPr>
          <w:b/>
          <w:color w:val="17365D" w:themeColor="text2" w:themeShade="BF"/>
          <w:sz w:val="20"/>
          <w:szCs w:val="20"/>
        </w:rPr>
        <w:t xml:space="preserve">CDFA – </w:t>
      </w:r>
      <w:hyperlink r:id="rId8" w:history="1">
        <w:r w:rsidRPr="00651451">
          <w:rPr>
            <w:rStyle w:val="Hyperlink"/>
            <w:color w:val="17365D" w:themeColor="text2" w:themeShade="BF"/>
            <w:sz w:val="20"/>
            <w:szCs w:val="20"/>
          </w:rPr>
          <w:t>www.cdfa.ca.gov/phpps</w:t>
        </w:r>
      </w:hyperlink>
      <w:r w:rsidRPr="00651451">
        <w:rPr>
          <w:color w:val="17365D" w:themeColor="text2" w:themeShade="BF"/>
          <w:sz w:val="20"/>
          <w:szCs w:val="20"/>
        </w:rPr>
        <w:t xml:space="preserve"> </w:t>
      </w:r>
      <w:r w:rsidRPr="00651451">
        <w:rPr>
          <w:b/>
          <w:color w:val="17365D" w:themeColor="text2" w:themeShade="BF"/>
          <w:sz w:val="20"/>
          <w:szCs w:val="20"/>
        </w:rPr>
        <w:t xml:space="preserve"> </w:t>
      </w:r>
    </w:p>
    <w:p w:rsidR="00BD19A5" w:rsidRPr="00651451" w:rsidRDefault="00BD19A5" w:rsidP="00BD19A5">
      <w:pPr>
        <w:pStyle w:val="ListParagraph"/>
        <w:numPr>
          <w:ilvl w:val="0"/>
          <w:numId w:val="4"/>
        </w:numPr>
        <w:rPr>
          <w:b/>
          <w:color w:val="17365D" w:themeColor="text2" w:themeShade="BF"/>
          <w:sz w:val="20"/>
          <w:szCs w:val="20"/>
        </w:rPr>
      </w:pPr>
      <w:r w:rsidRPr="00651451">
        <w:rPr>
          <w:b/>
          <w:color w:val="17365D" w:themeColor="text2" w:themeShade="BF"/>
          <w:sz w:val="20"/>
          <w:szCs w:val="20"/>
        </w:rPr>
        <w:t xml:space="preserve">CDFA Pest Hotline: </w:t>
      </w:r>
      <w:r w:rsidRPr="00651451">
        <w:rPr>
          <w:color w:val="17365D" w:themeColor="text2" w:themeShade="BF"/>
          <w:sz w:val="20"/>
          <w:szCs w:val="20"/>
        </w:rPr>
        <w:t xml:space="preserve">800-491-1899 </w:t>
      </w:r>
    </w:p>
    <w:p w:rsidR="00BD19A5" w:rsidRPr="00651451" w:rsidRDefault="00BD19A5" w:rsidP="00BD19A5">
      <w:pPr>
        <w:pStyle w:val="ListParagraph"/>
        <w:numPr>
          <w:ilvl w:val="0"/>
          <w:numId w:val="4"/>
        </w:numPr>
        <w:rPr>
          <w:b/>
          <w:color w:val="17365D" w:themeColor="text2" w:themeShade="BF"/>
          <w:sz w:val="20"/>
          <w:szCs w:val="20"/>
        </w:rPr>
      </w:pPr>
      <w:r w:rsidRPr="00651451">
        <w:rPr>
          <w:b/>
          <w:color w:val="17365D" w:themeColor="text2" w:themeShade="BF"/>
          <w:sz w:val="20"/>
          <w:szCs w:val="20"/>
        </w:rPr>
        <w:t xml:space="preserve">USDA – </w:t>
      </w:r>
      <w:hyperlink r:id="rId9" w:history="1">
        <w:r w:rsidRPr="00651451">
          <w:rPr>
            <w:rStyle w:val="Hyperlink"/>
            <w:color w:val="17365D" w:themeColor="text2" w:themeShade="BF"/>
            <w:sz w:val="20"/>
            <w:szCs w:val="20"/>
          </w:rPr>
          <w:t>www.saveourcitrus.org</w:t>
        </w:r>
      </w:hyperlink>
      <w:r w:rsidRPr="00651451">
        <w:rPr>
          <w:color w:val="17365D" w:themeColor="text2" w:themeShade="BF"/>
          <w:sz w:val="20"/>
          <w:szCs w:val="20"/>
        </w:rPr>
        <w:t xml:space="preserve"> </w:t>
      </w:r>
    </w:p>
    <w:p w:rsidR="00BD19A5" w:rsidRPr="00651451" w:rsidRDefault="00BD19A5" w:rsidP="00BD19A5">
      <w:pPr>
        <w:pStyle w:val="ListParagraph"/>
        <w:numPr>
          <w:ilvl w:val="0"/>
          <w:numId w:val="4"/>
        </w:numPr>
        <w:rPr>
          <w:b/>
          <w:color w:val="17365D" w:themeColor="text2" w:themeShade="BF"/>
          <w:sz w:val="20"/>
          <w:szCs w:val="20"/>
        </w:rPr>
      </w:pPr>
      <w:r w:rsidRPr="00651451">
        <w:rPr>
          <w:b/>
          <w:color w:val="17365D" w:themeColor="text2" w:themeShade="BF"/>
          <w:sz w:val="20"/>
          <w:szCs w:val="20"/>
        </w:rPr>
        <w:t>Citrus Research Board –</w:t>
      </w:r>
      <w:r w:rsidRPr="00651451">
        <w:rPr>
          <w:color w:val="17365D" w:themeColor="text2" w:themeShade="BF"/>
          <w:sz w:val="20"/>
          <w:szCs w:val="20"/>
        </w:rPr>
        <w:t xml:space="preserve"> www.californiacitrus</w:t>
      </w:r>
      <w:r w:rsidR="00276A33" w:rsidRPr="00651451">
        <w:rPr>
          <w:color w:val="17365D" w:themeColor="text2" w:themeShade="BF"/>
          <w:sz w:val="20"/>
          <w:szCs w:val="20"/>
        </w:rPr>
        <w:t>threat.org</w:t>
      </w:r>
    </w:p>
    <w:sectPr w:rsidR="00BD19A5" w:rsidRPr="00651451" w:rsidSect="0049472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F9" w:rsidRDefault="00F92BF9" w:rsidP="00494723">
      <w:pPr>
        <w:spacing w:after="0" w:line="240" w:lineRule="auto"/>
      </w:pPr>
      <w:r>
        <w:separator/>
      </w:r>
    </w:p>
  </w:endnote>
  <w:endnote w:type="continuationSeparator" w:id="0">
    <w:p w:rsidR="00F92BF9" w:rsidRDefault="00F92BF9" w:rsidP="0049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F9" w:rsidRDefault="00F92BF9" w:rsidP="00494723">
      <w:pPr>
        <w:spacing w:after="0" w:line="240" w:lineRule="auto"/>
      </w:pPr>
      <w:r>
        <w:separator/>
      </w:r>
    </w:p>
  </w:footnote>
  <w:footnote w:type="continuationSeparator" w:id="0">
    <w:p w:rsidR="00F92BF9" w:rsidRDefault="00F92BF9" w:rsidP="00494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CEC445F27CB44D51B650238C3527F83D"/>
      </w:placeholder>
      <w:dataBinding w:prefixMappings="xmlns:ns0='http://schemas.openxmlformats.org/package/2006/metadata/core-properties' xmlns:ns1='http://purl.org/dc/elements/1.1/'" w:xpath="/ns0:coreProperties[1]/ns1:title[1]" w:storeItemID="{6C3C8BC8-F283-45AE-878A-BAB7291924A1}"/>
      <w:text/>
    </w:sdtPr>
    <w:sdtEndPr/>
    <w:sdtContent>
      <w:p w:rsidR="00494723" w:rsidRDefault="0049472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sz w:val="32"/>
            <w:szCs w:val="32"/>
          </w:rPr>
          <w:t>ASIAN CITRUS PSYLLID (ACP) FACT SHEET</w:t>
        </w:r>
      </w:p>
    </w:sdtContent>
  </w:sdt>
  <w:p w:rsidR="00494723" w:rsidRDefault="00494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5C0"/>
    <w:multiLevelType w:val="hybridMultilevel"/>
    <w:tmpl w:val="F030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96BAA"/>
    <w:multiLevelType w:val="hybridMultilevel"/>
    <w:tmpl w:val="51B8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62457"/>
    <w:multiLevelType w:val="hybridMultilevel"/>
    <w:tmpl w:val="8CD2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2417C"/>
    <w:multiLevelType w:val="hybridMultilevel"/>
    <w:tmpl w:val="D220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23"/>
    <w:rsid w:val="00145DDA"/>
    <w:rsid w:val="00276A33"/>
    <w:rsid w:val="00306F41"/>
    <w:rsid w:val="003F34F7"/>
    <w:rsid w:val="00494723"/>
    <w:rsid w:val="00651451"/>
    <w:rsid w:val="00780C00"/>
    <w:rsid w:val="009A6DC8"/>
    <w:rsid w:val="00B36CE0"/>
    <w:rsid w:val="00BD19A5"/>
    <w:rsid w:val="00E2474A"/>
    <w:rsid w:val="00F92BF9"/>
    <w:rsid w:val="00FE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23"/>
    <w:pPr>
      <w:ind w:left="720"/>
      <w:contextualSpacing/>
    </w:pPr>
  </w:style>
  <w:style w:type="paragraph" w:styleId="Header">
    <w:name w:val="header"/>
    <w:basedOn w:val="Normal"/>
    <w:link w:val="HeaderChar"/>
    <w:uiPriority w:val="99"/>
    <w:unhideWhenUsed/>
    <w:rsid w:val="00494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723"/>
  </w:style>
  <w:style w:type="paragraph" w:styleId="Footer">
    <w:name w:val="footer"/>
    <w:basedOn w:val="Normal"/>
    <w:link w:val="FooterChar"/>
    <w:uiPriority w:val="99"/>
    <w:unhideWhenUsed/>
    <w:rsid w:val="00494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723"/>
  </w:style>
  <w:style w:type="paragraph" w:styleId="BalloonText">
    <w:name w:val="Balloon Text"/>
    <w:basedOn w:val="Normal"/>
    <w:link w:val="BalloonTextChar"/>
    <w:uiPriority w:val="99"/>
    <w:semiHidden/>
    <w:unhideWhenUsed/>
    <w:rsid w:val="00494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23"/>
    <w:rPr>
      <w:rFonts w:ascii="Tahoma" w:hAnsi="Tahoma" w:cs="Tahoma"/>
      <w:sz w:val="16"/>
      <w:szCs w:val="16"/>
    </w:rPr>
  </w:style>
  <w:style w:type="character" w:styleId="Hyperlink">
    <w:name w:val="Hyperlink"/>
    <w:basedOn w:val="DefaultParagraphFont"/>
    <w:uiPriority w:val="99"/>
    <w:unhideWhenUsed/>
    <w:rsid w:val="00BD19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23"/>
    <w:pPr>
      <w:ind w:left="720"/>
      <w:contextualSpacing/>
    </w:pPr>
  </w:style>
  <w:style w:type="paragraph" w:styleId="Header">
    <w:name w:val="header"/>
    <w:basedOn w:val="Normal"/>
    <w:link w:val="HeaderChar"/>
    <w:uiPriority w:val="99"/>
    <w:unhideWhenUsed/>
    <w:rsid w:val="00494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723"/>
  </w:style>
  <w:style w:type="paragraph" w:styleId="Footer">
    <w:name w:val="footer"/>
    <w:basedOn w:val="Normal"/>
    <w:link w:val="FooterChar"/>
    <w:uiPriority w:val="99"/>
    <w:unhideWhenUsed/>
    <w:rsid w:val="00494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723"/>
  </w:style>
  <w:style w:type="paragraph" w:styleId="BalloonText">
    <w:name w:val="Balloon Text"/>
    <w:basedOn w:val="Normal"/>
    <w:link w:val="BalloonTextChar"/>
    <w:uiPriority w:val="99"/>
    <w:semiHidden/>
    <w:unhideWhenUsed/>
    <w:rsid w:val="00494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23"/>
    <w:rPr>
      <w:rFonts w:ascii="Tahoma" w:hAnsi="Tahoma" w:cs="Tahoma"/>
      <w:sz w:val="16"/>
      <w:szCs w:val="16"/>
    </w:rPr>
  </w:style>
  <w:style w:type="character" w:styleId="Hyperlink">
    <w:name w:val="Hyperlink"/>
    <w:basedOn w:val="DefaultParagraphFont"/>
    <w:uiPriority w:val="99"/>
    <w:unhideWhenUsed/>
    <w:rsid w:val="00BD1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fa.ca.gov/phpp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veourcitrus.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C445F27CB44D51B650238C3527F83D"/>
        <w:category>
          <w:name w:val="General"/>
          <w:gallery w:val="placeholder"/>
        </w:category>
        <w:types>
          <w:type w:val="bbPlcHdr"/>
        </w:types>
        <w:behaviors>
          <w:behavior w:val="content"/>
        </w:behaviors>
        <w:guid w:val="{F32F3FA1-82A3-48A9-BD88-E36506801D1A}"/>
      </w:docPartPr>
      <w:docPartBody>
        <w:p w:rsidR="00A710D0" w:rsidRDefault="00360ECC" w:rsidP="00360ECC">
          <w:pPr>
            <w:pStyle w:val="CEC445F27CB44D51B650238C3527F8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CC"/>
    <w:rsid w:val="00360ECC"/>
    <w:rsid w:val="006554FC"/>
    <w:rsid w:val="00A710D0"/>
    <w:rsid w:val="00CA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C445F27CB44D51B650238C3527F83D">
    <w:name w:val="CEC445F27CB44D51B650238C3527F83D"/>
    <w:rsid w:val="00360E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C445F27CB44D51B650238C3527F83D">
    <w:name w:val="CEC445F27CB44D51B650238C3527F83D"/>
    <w:rsid w:val="00360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ASIAN CITRUS PSYLLID (ACP) FACT SHEET</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CITRUS PSYLLID (ACP) FACT SHEET</dc:title>
  <dc:creator>Knapp Nursery</dc:creator>
  <cp:lastModifiedBy>Knapp Nursery</cp:lastModifiedBy>
  <cp:revision>5</cp:revision>
  <cp:lastPrinted>2013-04-30T22:11:00Z</cp:lastPrinted>
  <dcterms:created xsi:type="dcterms:W3CDTF">2013-04-17T17:31:00Z</dcterms:created>
  <dcterms:modified xsi:type="dcterms:W3CDTF">2013-04-30T23:15:00Z</dcterms:modified>
</cp:coreProperties>
</file>